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Частина 1.  Дієслово: загальне значення, морфологічні ознаки, синтаксична роль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rtl w:val="0"/>
        </w:rPr>
        <w:t xml:space="preserve">Звернімо увагу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 на слова у двох стовпчиках: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rtl w:val="0"/>
        </w:rPr>
        <w:t xml:space="preserve">Додаткові ресурси: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Боротися        боротьба                                                                 Відео до уроку: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заспівати        спів                                                                         Презентація: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синіти             синій                                                                     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зазеленіти      зелений                                                                 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Якщо порівняти ці слова як частини мови, зробимо висновок: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слова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4"/>
          <w:szCs w:val="24"/>
          <w:rtl w:val="0"/>
        </w:rPr>
        <w:t xml:space="preserve">«боротьба», «спів»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 означають назву дії і відповідають на питання що?, отже,  це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d9eeb"/>
          <w:sz w:val="24"/>
          <w:szCs w:val="24"/>
          <w:rtl w:val="0"/>
        </w:rPr>
        <w:t xml:space="preserve">іменники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слова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d9eeb"/>
          <w:sz w:val="24"/>
          <w:szCs w:val="24"/>
          <w:rtl w:val="0"/>
        </w:rPr>
        <w:t xml:space="preserve">«синій», «зелений»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 вказують на ознаку і відповідають на питання який?, отже, це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d9eeb"/>
          <w:sz w:val="24"/>
          <w:szCs w:val="24"/>
          <w:rtl w:val="0"/>
        </w:rPr>
        <w:t xml:space="preserve">прикметники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слова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rtl w:val="0"/>
        </w:rPr>
        <w:t xml:space="preserve"> «боротися», «синіти», «заспівати», «зазеленіти»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rtl w:val="0"/>
        </w:rPr>
        <w:t xml:space="preserve"> означають дію предмета, відповідають на питання що робити? що зробити?, отже, це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6a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4"/>
          <w:szCs w:val="24"/>
          <w:rtl w:val="0"/>
        </w:rPr>
        <w:t xml:space="preserve">дієслова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                                                                     Запам’ятай!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highlight w:val="white"/>
          <w:rtl w:val="0"/>
        </w:rPr>
        <w:t xml:space="preserve">❗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d9eeb"/>
          <w:sz w:val="24"/>
          <w:szCs w:val="24"/>
          <w:highlight w:val="white"/>
          <w:rtl w:val="0"/>
        </w:rPr>
        <w:t xml:space="preserve"> Дієслово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це самостійна змінна частина мови, слова якої називають дію або стан предмета як процес і відповідають на питання що робити? що зробити? (у початковій формі).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Початкова форма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дієслова має назви: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інфінітив, неозначена форма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дієслова. У системі дієслова вона посідає особливе місце.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Неозначена форма дієслова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початкова форма;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називає дію або стан як процес;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відповідає на питання що робити? що зробити?;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не вказує ні на особу, ні на рід, ні на час, ні на число;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на кінці має суфікси -ти, -ть;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може бути будь-яким членом речення.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Окрім неозначеної, дієслова мають ще такі форми. 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4"/>
          <w:szCs w:val="24"/>
          <w:highlight w:val="white"/>
          <w:rtl w:val="0"/>
        </w:rPr>
        <w:t xml:space="preserve">Особові дієслова: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вказують на дію   або стан предмета; відповідають на питання що роблю? що зроблю? що робив? що буду робити?: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пишу, малюю.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4"/>
          <w:szCs w:val="24"/>
          <w:highlight w:val="white"/>
          <w:rtl w:val="0"/>
        </w:rPr>
        <w:t xml:space="preserve">Дієприкметники: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вказують на ознаку предмета за дією; відповідають на питання який? яка? яке? які?: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писаний, малюючий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.             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4"/>
          <w:szCs w:val="24"/>
          <w:highlight w:val="white"/>
          <w:rtl w:val="0"/>
        </w:rPr>
        <w:t xml:space="preserve">Безособові форми на -но, -то: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означають дію, що сприймається як результат; відповідають на питання що зроблено?: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написано, намальовано.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4"/>
          <w:szCs w:val="24"/>
          <w:highlight w:val="white"/>
          <w:rtl w:val="0"/>
        </w:rPr>
        <w:t xml:space="preserve">Дієприслівники: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 означають додаткову дію, обставину дії; відповідають на питання що роблячи? що зробивши?: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пишучи, намалювавши.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color w:val="4e4e3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Усі особові дієслова змінюються за особами (у теперішньому й майбутньому часі), родами (в минулому часі), числами, часами.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Розрізняють три особи дієслова: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1-ша: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) раді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) раді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ємо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2-га: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) раді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єш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) раді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єте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32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3-тя: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він, вона, воно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) раді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вони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) раді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6a900"/>
          <w:sz w:val="24"/>
          <w:szCs w:val="24"/>
          <w:highlight w:val="white"/>
          <w:rtl w:val="0"/>
        </w:rPr>
        <w:t xml:space="preserve">ють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highlight w:val="white"/>
          <w:rtl w:val="0"/>
        </w:rPr>
        <w:t xml:space="preserve">✔️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Дієслова мають такі граматичні категорії: час, число, особа, рід, вид, спосіб.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Час: 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минулий, теперішній, майбутній.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Число: м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ножина та однина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Рід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(тільки у множині)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Вид: 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доконаний та недоконаний.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Спосіб: 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дійсний, умовний та наказовий.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e4e3f"/>
          <w:sz w:val="24"/>
          <w:szCs w:val="24"/>
          <w:highlight w:val="white"/>
          <w:rtl w:val="0"/>
        </w:rPr>
        <w:t xml:space="preserve">Синтаксична роль</w:t>
      </w:r>
      <w:r w:rsidDel="00000000" w:rsidR="00000000" w:rsidRPr="00000000">
        <w:rPr>
          <w:rFonts w:ascii="Times New Roman" w:cs="Times New Roman" w:eastAsia="Times New Roman" w:hAnsi="Times New Roman"/>
          <w:color w:val="4e4e3f"/>
          <w:sz w:val="24"/>
          <w:szCs w:val="24"/>
          <w:highlight w:val="white"/>
          <w:rtl w:val="0"/>
        </w:rPr>
        <w:t xml:space="preserve">. Дієслово найчастіше виконує роль присудка: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e4e3f"/>
          <w:sz w:val="24"/>
          <w:szCs w:val="24"/>
          <w:highlight w:val="white"/>
          <w:rtl w:val="0"/>
        </w:rPr>
        <w:t xml:space="preserve">Про</w:t>
      </w:r>
      <w:r w:rsidDel="00000000" w:rsidR="00000000" w:rsidRPr="00000000">
        <w:rPr>
          <w:b w:val="1"/>
          <w:i w:val="1"/>
          <w:color w:val="4e4e3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e4e3f"/>
          <w:sz w:val="24"/>
          <w:szCs w:val="24"/>
          <w:highlight w:val="white"/>
          <w:rtl w:val="0"/>
        </w:rPr>
        <w:t xml:space="preserve">все 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e4e3f"/>
          <w:sz w:val="24"/>
          <w:szCs w:val="24"/>
          <w:highlight w:val="white"/>
          <w:rtl w:val="0"/>
        </w:rPr>
        <w:t xml:space="preserve">співаєш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e4e3f"/>
          <w:sz w:val="24"/>
          <w:szCs w:val="24"/>
          <w:highlight w:val="white"/>
          <w:rtl w:val="0"/>
        </w:rPr>
        <w:t xml:space="preserve">: про сльози і сміх, Про молодість, битвами грізну…(В. Сосюра).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07.71653543307366" w:top="283.46456692913387" w:left="708.6614173228347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4e3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4e3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